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97C31">
      <w:pPr>
        <w:jc w:val="center"/>
        <w:rPr>
          <w:rFonts w:eastAsia="Times New Roman"/>
          <w:sz w:val="28"/>
          <w:szCs w:val="28"/>
          <w:highlight w:val="white"/>
          <w:shd w:val="clear" w:color="auto" w:fill="FEFEFE"/>
        </w:rPr>
      </w:pPr>
      <w:bookmarkStart w:id="0" w:name="_GoBack"/>
      <w:bookmarkEnd w:id="0"/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ПОСТАНОВЛЕНИЕ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№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35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ОТ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4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МАРТ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2020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Г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.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ИЗМЕНЕНИЕ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ДОПЪЛНЕНИЕ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НАРЕДБАТА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ПОСОЧВАНЕ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НЕРЕДНОСТИ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,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ПРЕДСТАВЛЯВАЩИ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ОСНОВАНИЯ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ИЗВЪРШВАНЕ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ФИНАНСОВИ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КОРЕКЦИИ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,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ПРОЦЕНТНИТЕ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ПОКАЗАТЕЛИ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ОПРЕДЕЛЯНЕ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РАЗМЕРА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ФИНАНСОВИТЕ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КОРЕКЦИИ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ПО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РЕДА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ЗАКОНА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З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УПРАВЛЕНИЕ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СРЕДСТВАТА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ОТ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ЕВРОПЕЙСКИТЕ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СТРУКТУРНИ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ИНВЕСТИЦИОННИ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ФОНДОВЕ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,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ПРИЕТА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С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ПОСТАНОВЛЕНИЕ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№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57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МИНИСТЕРСКИЯ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СЪВЕТ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ОТ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2017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Г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. (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ДВ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,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БР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. 27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ОТ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2017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Г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.)</w:t>
      </w:r>
    </w:p>
    <w:p w:rsidR="00000000" w:rsidRDefault="00A97C31">
      <w:pPr>
        <w:spacing w:before="283"/>
        <w:ind w:firstLine="850"/>
        <w:jc w:val="both"/>
        <w:rPr>
          <w:rFonts w:eastAsia="Times New Roman"/>
          <w:sz w:val="28"/>
          <w:szCs w:val="28"/>
          <w:highlight w:val="white"/>
          <w:shd w:val="clear" w:color="auto" w:fill="FEFEFE"/>
        </w:rPr>
      </w:pP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Обн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 xml:space="preserve">. 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ДВ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 xml:space="preserve">. 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бр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 xml:space="preserve">.19 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от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 xml:space="preserve"> 6 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Март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 xml:space="preserve"> 2020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г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.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МИНИСТЕРСКИЯТ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СЪВЕТ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ПОСТАНОВИ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:</w:t>
      </w:r>
    </w:p>
    <w:p w:rsidR="00000000" w:rsidRDefault="00A97C31">
      <w:pPr>
        <w:rPr>
          <w:rFonts w:eastAsia="Times New Roman"/>
          <w:sz w:val="28"/>
          <w:szCs w:val="28"/>
          <w:highlight w:val="white"/>
          <w:shd w:val="clear" w:color="auto" w:fill="FEFEFE"/>
        </w:rPr>
      </w:pP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§ 1.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правят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следн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изменения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допълнения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: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1.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Създава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нова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 2: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"(2)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Нередностите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съставляващи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нарушения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възлагането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обществени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поръчки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влизането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Закона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обществените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поръчки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2016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.;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34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2016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 63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85, 96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102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7, 15, 17, 24, 30, 49, 77, 80, 86, 102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105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2018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83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съгласно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§ 18, 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неговите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преходни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заключителни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разпоредби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както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приложимите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процентни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показатели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тез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нередности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посочени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."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2.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Досегашните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стават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съответно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4.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§ 2.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5,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след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думите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1"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поставя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запетая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добавя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"1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".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§ 3.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след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думите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1"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добавя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съответно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".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§ 4.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§ 1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допълнителната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разпоредба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изменя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така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: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"3.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Общата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програма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Солидарност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управление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миграционните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потоци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",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фонд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Убежище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миграция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интеграция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"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фонд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Вътрешна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сигурност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"."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§ 5.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към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прав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ят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следните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изменения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: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1.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заглавието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колона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думите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поръчки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ЗОП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"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заличават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2.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Колона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4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Показател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корекцията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%)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поръчки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ЗОП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процедура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избор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изпълнител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50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ЗУСЕСИФ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"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личава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§ 6.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Създава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към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 2: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към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 2</w:t>
      </w:r>
    </w:p>
    <w:tbl>
      <w:tblPr>
        <w:tblW w:w="1156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5"/>
        <w:gridCol w:w="3359"/>
        <w:gridCol w:w="3886"/>
        <w:gridCol w:w="329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1156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ВИДОВЕ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СЪОТВЕТСТВАЩИ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ПРОЦЕНТНИ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ФИНАНСОВИ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I</w:t>
            </w:r>
          </w:p>
        </w:tc>
        <w:tc>
          <w:tcPr>
            <w:tcW w:w="10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чрез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№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ред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Вид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Описание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примери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</w:p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%)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правила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ликуването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Официалния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вестник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" ("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гарантира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предприятие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намиращо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друга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държава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подходяща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нформация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относно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представи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изрази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интерес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;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означава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законодателство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стандарти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спазени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стандарти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2.1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тълкувателно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съобщение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Комисията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№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2006/C 179/02.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3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2.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доставки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доставки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резултат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излиза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извън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обхвата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избягва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целия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дейности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доставки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гарант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предприятие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намиращо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друга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държава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подходяща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относно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представи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изрази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интерес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;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означава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законодателство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стандарти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спазени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;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повече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детайли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относно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стандарти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виж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2.1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тълкуват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съобщение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Комисията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№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2006/C 179/02).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189"/>
        </w:trPr>
        <w:tc>
          <w:tcPr>
            <w:tcW w:w="10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3.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Неспазване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кратки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съкращаването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голямо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съкращаването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голямо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30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каквото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друго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съкращаване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процент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,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счита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характерът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оправдават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4.</w:t>
            </w:r>
          </w:p>
        </w:tc>
        <w:tc>
          <w:tcPr>
            <w:tcW w:w="3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Недостатъчен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/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</w:p>
        </w:tc>
        <w:tc>
          <w:tcPr>
            <w:tcW w:w="3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прекалено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кратък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необосновано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прилагат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всеки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конкретен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ределяне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вземат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предвид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евентуални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смекчаващи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фактори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свързани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сложността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административна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затруднения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осигуряването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към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кратък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към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кратък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60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към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малък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80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5.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: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съгласно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правила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подлежи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6.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осъобразен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облекчен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облекчен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установените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предпоставки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7.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Недостатъчна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обосновка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областта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отбраната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сигурността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областта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отбраната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сигурността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обстоятелствата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обосновават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8.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: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достатъчно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подробно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достатъчно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подробно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9.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Неправомерни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включително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свързани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пропорционални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Случаи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възпрепятствани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поради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неправомерни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инималните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възможностите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свързани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пропорционални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гарантира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ограничав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например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: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задължение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наличие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стопанска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представителство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страната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региона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притежават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опит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страната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региона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10.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Дискриминационни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спецификации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Поставяне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характеристики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прекалено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специфични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предоставят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необосновано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11.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Недостатъчно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подро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Описанието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недостатъчно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дейности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сума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подлежи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II</w:t>
            </w:r>
          </w:p>
        </w:tc>
        <w:tc>
          <w:tcPr>
            <w:tcW w:w="10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предложения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12.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допускане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етапа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допускане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трябвало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допуснати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спазване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13.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идати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етапа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трябвало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спазване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14.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/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подпоказатели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относителната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резултат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прилагат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Пример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: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подпоказателите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свързани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15.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прозрачност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третиране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оценяването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Одитната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пътека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отнасяща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конкретно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поставени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всяка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неясна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неоправдана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непрозрачна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съществуваща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протоколът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докладът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съществува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съдържа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всички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елементи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16.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оценяването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разрешава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856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17.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рамките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открита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преговаря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етапа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значителн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18.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Провеждане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промяна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променени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,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основание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19.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необичайно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ниска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цена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необичайно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ниски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отношение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дейности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отхвърли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подробна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писмена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обосновка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образуване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20.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Конфликт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интереси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Установен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компетентен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съдебен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административен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орган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конфликт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интереси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бенефициента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III</w:t>
            </w:r>
          </w:p>
        </w:tc>
        <w:tc>
          <w:tcPr>
            <w:tcW w:w="10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сключения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21.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елементите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към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степен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гъвкавост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спрямо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предвидена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ясен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предвидена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могат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приети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счита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смисъла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116,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Съществените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елементи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включват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ограничават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единствено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естество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дейностите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период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приключване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плащане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материали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Необходимо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всеки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конкретен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прави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анализ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елементи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плюс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която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резултат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значителното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елементите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му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22.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обхвата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впоследствие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обемът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му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обхвата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плюс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окончателния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обем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значително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обема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23.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116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представлява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степен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гъвкавост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спрямо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предвидена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ясен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предвидена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могат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приети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счита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смисъла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116,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Основният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последван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един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повече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писмен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вид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неспазване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сумата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всички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писмен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вид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неспазване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надвишава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праговете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директивите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9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24.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9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работи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надвишаващи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лимита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9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Основният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последван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един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повече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надвишаващи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повече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90" w:type="dxa"/>
              <w:bottom w:w="0" w:type="dxa"/>
            </w:tcMar>
            <w:vAlign w:val="center"/>
          </w:tcPr>
          <w:p w:rsidR="00000000" w:rsidRDefault="00A97C31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надвишаваща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</w:tbl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"</w:t>
      </w:r>
    </w:p>
    <w:p w:rsidR="00000000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§ 7.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Думите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към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2"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заменят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към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 3".</w:t>
      </w:r>
    </w:p>
    <w:p w:rsidR="00000000" w:rsidRDefault="00A97C31">
      <w:pPr>
        <w:spacing w:before="240" w:after="240"/>
        <w:jc w:val="center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Преходни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разпоредби</w:t>
      </w:r>
    </w:p>
    <w:p w:rsidR="00A97C31" w:rsidRDefault="00A97C31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§ 8.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Започнатите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влизането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това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постановление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производства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касаещи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поръчки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Закона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обществените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поръчки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процедури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избор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изпълнител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50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ЗУСЕСИФ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реда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Постановление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118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Министерския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съвет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2014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условията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реда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изпълнител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страна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бенефициенти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безвъзмездна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помощ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механизъм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Европейското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икономическо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пространство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Норвежкия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механизъм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фонд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Убежище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миграция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интеграция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"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фонд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Вътрешна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сигурност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"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44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2014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.;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76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101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2014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50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2015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52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2016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30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68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107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2018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.),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довършват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досегашните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показатели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корекцията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sectPr w:rsidR="00A97C31">
      <w:pgSz w:w="12240" w:h="15840"/>
      <w:pgMar w:top="1080" w:right="1080" w:bottom="1080" w:left="108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endnotePr>
    <w:pos w:val="sectEnd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69"/>
    <w:rsid w:val="00A97C31"/>
    <w:rsid w:val="00F4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82ACD13-71C8-442A-A059-4A7F659C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2603</Words>
  <Characters>14841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PETYA EMILIYANOVA NIKOLOVA</dc:creator>
  <cp:keywords/>
  <dc:description/>
  <cp:lastModifiedBy>PETYA EMILIYANOVA NIKOLOVA</cp:lastModifiedBy>
  <cp:revision>2</cp:revision>
  <dcterms:created xsi:type="dcterms:W3CDTF">2020-03-06T13:56:00Z</dcterms:created>
  <dcterms:modified xsi:type="dcterms:W3CDTF">2020-03-06T13:56:00Z</dcterms:modified>
</cp:coreProperties>
</file>