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E45E4">
      <w:pPr>
        <w:jc w:val="center"/>
        <w:rPr>
          <w:rFonts w:eastAsia="Times New Roman"/>
          <w:sz w:val="28"/>
          <w:szCs w:val="28"/>
          <w:highlight w:val="white"/>
          <w:shd w:val="clear" w:color="auto" w:fill="FEFEFE"/>
        </w:rPr>
      </w:pPr>
      <w:bookmarkStart w:id="0" w:name="_GoBack"/>
      <w:bookmarkEnd w:id="0"/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НАРЕДБА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ПОСОЧВАНЕ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НЕРЕДНОСТИ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ПРЕДСТАВЛЯВАЩИ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ОСНОВАНИЯ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ИЗВЪРШВАНЕ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ФИНАНСОВИ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КОРЕКЦИИ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ПРОЦЕНТНИТЕ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ПОКАЗАТЕЛИ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ОПРЕДЕЛЯНЕ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РАЗМЕРА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ФИНАНСОВИТЕ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КОРЕКЦИИ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ПО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РЕДА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ЗАКОНА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УПРАВЛЕНИЕ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СРЕДСТВАТА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ЕВРОПЕЙСКИТЕ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СТРУКТУРНИ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ИНВЕСТИЦИОНН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8"/>
          <w:szCs w:val="28"/>
          <w:highlight w:val="white"/>
          <w:shd w:val="clear" w:color="auto" w:fill="FEFEFE"/>
        </w:rPr>
        <w:t>ФОНДОВЕ</w:t>
      </w:r>
    </w:p>
    <w:p w:rsidR="00000000" w:rsidRDefault="00DE45E4">
      <w:pPr>
        <w:spacing w:before="283"/>
        <w:ind w:firstLine="850"/>
        <w:rPr>
          <w:rFonts w:eastAsia="Times New Roman"/>
          <w:sz w:val="28"/>
          <w:szCs w:val="28"/>
          <w:highlight w:val="white"/>
          <w:shd w:val="clear" w:color="auto" w:fill="FEFEFE"/>
        </w:rPr>
      </w:pP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В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сила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31.03.2017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.</w:t>
      </w:r>
    </w:p>
    <w:p w:rsidR="00000000" w:rsidRDefault="00DE45E4">
      <w:pPr>
        <w:spacing w:before="283"/>
        <w:ind w:firstLine="850"/>
        <w:rPr>
          <w:rFonts w:eastAsia="Times New Roman"/>
          <w:sz w:val="28"/>
          <w:szCs w:val="28"/>
          <w:highlight w:val="white"/>
          <w:shd w:val="clear" w:color="auto" w:fill="FEFEFE"/>
        </w:rPr>
      </w:pP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Приета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с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ПМС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№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57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28.03.2017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.</w:t>
      </w:r>
    </w:p>
    <w:p w:rsidR="00000000" w:rsidRDefault="00DE45E4">
      <w:pPr>
        <w:spacing w:before="283"/>
        <w:ind w:firstLine="850"/>
        <w:jc w:val="both"/>
        <w:rPr>
          <w:rFonts w:eastAsia="Times New Roman"/>
          <w:sz w:val="28"/>
          <w:szCs w:val="28"/>
          <w:highlight w:val="white"/>
          <w:shd w:val="clear" w:color="auto" w:fill="FEFEFE"/>
        </w:rPr>
      </w:pP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Обн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ДВ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бр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.27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31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Март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2017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.,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изм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ДВ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бр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.68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22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Август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2017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.,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изм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ДВ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бр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.67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23 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Август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 2019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i/>
          <w:iCs/>
          <w:sz w:val="28"/>
          <w:szCs w:val="28"/>
          <w:highlight w:val="white"/>
          <w:shd w:val="clear" w:color="auto" w:fill="FEFEFE"/>
        </w:rPr>
        <w:t xml:space="preserve">.,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изм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доп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ДВ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бр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.19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 6 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Март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 xml:space="preserve"> 2020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i/>
          <w:iCs/>
          <w:sz w:val="28"/>
          <w:szCs w:val="28"/>
          <w:highlight w:val="white"/>
          <w:shd w:val="clear" w:color="auto" w:fill="FEFEFE"/>
        </w:rPr>
        <w:t>.</w:t>
      </w:r>
    </w:p>
    <w:p w:rsidR="00000000" w:rsidRDefault="00DE45E4">
      <w:pPr>
        <w:spacing w:before="240" w:after="240"/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Раздел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I.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br/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Общи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положения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наредбат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посочват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: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1.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случаите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съставляващи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правилата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изпълнител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глава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четвърта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Закона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управление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средствата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структурни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инвестици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онни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фондове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),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извършени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чрез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действия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бездействия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бенефициента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които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имат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биха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имали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последица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нанасянето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вреда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средства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структурни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инвестиционни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фондове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които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представляват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основания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извършване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;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2.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минималните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максималните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стойности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основание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1,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1, 3 - 7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2. (1)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както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приложимите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тях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посочени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(2)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съставляващи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възлагането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обществени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влизането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Закона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обществените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.;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63, 85, 96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102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7, 15, 17, 24, 30, 49, 77, 80, 86, 102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105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83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съгласно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§ 18,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неговите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преходни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заключителни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разпоредби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както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приложимите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тези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посочени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(3)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Предишна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Приложимите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1, 3 - 7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посочени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(4)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предишна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2,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прилага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диференциалният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метод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spacing w:before="240" w:after="240"/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Раздел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II.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br/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финансовата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Диференциален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метод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пропорционален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метод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3. (1)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размера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отчита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естеството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сериозността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уснато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бенефициента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финансовото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отражение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има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могло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върху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средствата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(2)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размера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извършва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чрез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прилагането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диференциален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метод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когато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невъзможно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чрез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пропорцио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нален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метод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4.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Когато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чрез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прилагане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диференциалния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метод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нейният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размер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трябва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равен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реално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установените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последици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върху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изразходваните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средства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допустими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разходи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5. (1)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22.08.2017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Размерът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пропорционалния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метод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когато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поради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естеството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невъзможно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даде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реално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количествено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изражение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последици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този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случай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прилага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спрямо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засегнатите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разходи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(2)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финансовото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отражение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съпоставят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разходите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рамките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предоставената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безвъзмездна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помощ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договора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извършени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след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възникване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хипотетичният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размер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разходите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ситуация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която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имало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(3)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22.08.2017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прилагането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пропорционални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метод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изчисляването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извършва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като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процентният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посочен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1, 1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отнася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сумата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допустимите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засегнати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разходи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които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поискани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бенефициента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възстановяване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като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лага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следната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формула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: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К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=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Пк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x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,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където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: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К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стойността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;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Пк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процентният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съгласно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съответното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;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Ср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сумата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допустимите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поискани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бенефициента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разходи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който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констатирано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арушението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6.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.)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7.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констатирани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повече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случаи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посочени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съответн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една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всички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нарушения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засягащи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едни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същи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допустими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разходи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чийто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размер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равен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най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-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високия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всяко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тях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акта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73,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8. (1)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констатирана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нередност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самостоятелна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като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прилага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съответният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процентен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всяка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тях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(2)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определена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определена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натрупват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размера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елен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71,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spacing w:before="240" w:after="240"/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Допълнителни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разпоредби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1.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Наредбата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прилага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отношение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: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1.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Оперативната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храни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/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основно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материално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подпомагане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най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-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нуждаещите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лица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;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2.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териториално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които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Република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България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участва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периода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2014 - 2020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трансгранично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ИНТЕРРЕГ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ИПП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България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Сърбия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2014 - 2020,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трансгранично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ИНТЕРРЕГ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ИПП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България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Турция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2014 - 2020,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трансгранично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ИНТЕРРЕГ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ИПП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България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бивша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Югославска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република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Македония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2014 - 2020,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ИНТЕРРЕГ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V-A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Румъния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България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ИНТЕРРЕГ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V-A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Гърция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България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транснационално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унав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 2014 - 2020,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транснационално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Балкани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Средиземно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море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 2014 - 2020,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междурегионално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ИНТЕРРЕГ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2014 - 2020,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междурегионално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УРБАКТ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III,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Съвместна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оперативна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трансгранично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инструмент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съседство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Черноморски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басейн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2014 - 2020");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3.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Общата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програма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Солидарност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управление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миграционните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потоци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Убежище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Вътрешна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сигурност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".</w:t>
      </w:r>
    </w:p>
    <w:p w:rsidR="00000000" w:rsidRDefault="00DE45E4">
      <w:pPr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Заключителни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разпоредби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§ 2.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Наредбата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приема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основание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връзка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§ 5,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допъл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нителните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разпоредби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Закона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управление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средствата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структурни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инвестиционни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фондове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7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Закона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нормативните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актове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връзка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Регламент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ЕС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)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223/2014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парламент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Съвета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11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март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относно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подпомагане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най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-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нуждаещите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лица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46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Регламент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514/2014/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ЕС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парламент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Съвета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общи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разпоредби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Убежище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Инструмента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подпомагане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полицейското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сътрудничество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предотвратяването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борбата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престъпността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управлението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кризи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3.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Наредбата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влиза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деня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обнародването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ѝ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Държавен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вестник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".</w:t>
      </w:r>
    </w:p>
    <w:p w:rsidR="00000000" w:rsidRDefault="00DE45E4">
      <w:pPr>
        <w:spacing w:before="240" w:after="240"/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ПОСТАНОВЛЕНИЕ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174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17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АВГУСТ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ИЗМЕНЕНИЕ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НОРМАТИВНИ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АКТОВЕ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МИ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НИСТЕРСКИЯ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СЪВЕТ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22.08.2017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.)</w:t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15.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Постановлението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влиза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деня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обнародването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му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Държавен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вестник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".</w:t>
      </w:r>
    </w:p>
    <w:p w:rsidR="00000000" w:rsidRDefault="00DE45E4">
      <w:pPr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Заключителни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разпоредби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br/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ПОСТАНОВЛЕНИЕ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202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15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АВГУСТ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ИЗМЕНЕНИЕ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НАРЕДБАТА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ПОСОЧВАНЕ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НЕРЕДНОСТИ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ПРЕДСТАВЛЯВАЩИ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ОСНОВАНИЯ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ИЗВЪРШВАНЕ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ФИНАНСОВИ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ПРОЦЕНТНИТЕ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ПОКАЗАТЕЛИ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РАЗМЕРА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ФИНАНСОВИТЕ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РЕДА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ЗАКОНА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УПРАВЛЕНИЕ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СРЕДСТВАТА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ЕВРОПЕЙСКИТЕ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СТРУКТУРНИ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ИНВЕСТИЦИОННИ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ФОНДОВЕ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,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ПРИЕТА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С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ПОСТАНОВЛЕНИЕ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57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МИНИСТЕРСКИЯ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СЪВЕТ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.)</w:t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11.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Постановлението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влиза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деня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обнародването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му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Държавен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вестник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".</w:t>
      </w:r>
    </w:p>
    <w:p w:rsidR="00000000" w:rsidRDefault="00DE45E4">
      <w:pPr>
        <w:spacing w:before="240" w:after="240"/>
        <w:jc w:val="center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Преходни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разпоредби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br/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ПОСТАНОВЛЕНИЕ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35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4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МАРТ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ИЗМЕНЕНИЕ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ДОПЪЛНЕНИЕ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НАРЕДБАТА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ПОСОЧВАНЕ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НЕРЕДНОСТИ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ПРЕДСТАВЛЯВАЩИ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ОСНОВАНИЯ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ИЗВЪРШВАНЕ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ФИНАНСОВИ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ПРОЦЕНТНИТЕ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ПОКАЗАТЕЛИ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РАЗМЕРА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ФИНАНСОВИТЕ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РЕДА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ЗАКОНА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УПРАВЛЕНИЕ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СРЕДСТВАТА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ЕВРОПЕЙСКИТЕ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СТРУКТУРНИ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ИНВЕСТИЦИОННИ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ФОНДОВЕ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ПРИЕТА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С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ПОСТАНОВЛЕНИЕ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57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МИНИСТЕРСКИЯ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СЪВЕТ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b/>
          <w:bCs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.)</w:t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§ 8.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Започнатите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влизането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това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постановление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производства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lastRenderedPageBreak/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кас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аещи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20,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3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Закона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обществените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поръчки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процедури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избор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изпълнител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ЗУСЕСИФ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Постановление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118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Министерския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съвет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условията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реда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за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определяне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изпълнител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страна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бенеф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ициенти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безвъзмездна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помощ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механизъм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Европейското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икономическо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пространство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Норвежкия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финансов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механизъм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Убежище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миграция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интеграция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"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фонд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"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Вътрешна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сигурност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" 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обн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44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.;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доп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76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01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2014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2015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52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2016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30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68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107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2018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.),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довършват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досегашните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показатели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корекцията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</w:t>
      </w: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1</w:t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.)</w:t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br/>
      </w:r>
    </w:p>
    <w:tbl>
      <w:tblPr>
        <w:tblW w:w="1177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69"/>
        <w:gridCol w:w="3715"/>
        <w:gridCol w:w="3943"/>
        <w:gridCol w:w="294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</w:t>
            </w:r>
          </w:p>
        </w:tc>
        <w:tc>
          <w:tcPr>
            <w:tcW w:w="3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</w:t>
            </w:r>
          </w:p>
        </w:tc>
        <w:tc>
          <w:tcPr>
            <w:tcW w:w="2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І</w:t>
            </w:r>
          </w:p>
        </w:tc>
        <w:tc>
          <w:tcPr>
            <w:tcW w:w="106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br/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ред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примери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%)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неоснователно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директно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незаконосъобразен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пряко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например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hyperlink r:id="rId4" w:history="1">
              <w:r>
                <w:rPr>
                  <w:rFonts w:ascii="Arial" w:eastAsia="Times New Roman" w:hAnsi="Arial" w:cs="Arial"/>
                  <w:color w:val="0000FF"/>
                  <w:highlight w:val="white"/>
                  <w:u w:val="single"/>
                  <w:shd w:val="clear" w:color="auto" w:fill="FEFEFE"/>
                </w:rPr>
                <w:t>Официален вестник</w:t>
              </w:r>
            </w:hyperlink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Европейския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съюз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законодателството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директно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пряко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основанията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966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въпреки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изискуемата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направено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средства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средства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гарантира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стопански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субект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държава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ѝ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състояние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изрази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своя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средствата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равнище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законодателство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стандарти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азгласяване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стандартите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уредени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2.1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Тълкувателно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съобщение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Европейската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комисия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2006/C 179/02).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1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2.</w:t>
            </w:r>
          </w:p>
        </w:tc>
        <w:tc>
          <w:tcPr>
            <w:tcW w:w="37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части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части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всяка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част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относим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ниски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прогнозни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изискуемата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Регистъра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подлежащи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части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лежащи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11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наличие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буква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части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средства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буква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настоящото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3.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неразделяне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обособени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позиции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причини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обособени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позиции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съгласно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46,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4.1.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голямо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85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малък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голямо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85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голямо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30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малко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30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4.2.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направени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5.1.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твърде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кратък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малък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кратък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80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2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малък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5.2.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осигурил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неограничен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пряк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безплатен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чрез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електронни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средства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както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заложено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32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представлява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сериозна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осигурен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електрон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тогава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прилагат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процентни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 5.1.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обхват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32,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3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4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6.1.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законосъобразни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направена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средства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смисъла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буква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настоящото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законосъобразни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средства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смисъла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буква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настоящото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6.2.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отговорът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поискано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свое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временно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разяснение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предоставен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малко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6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74,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2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133,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2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поради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необходимост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спешно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4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3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7.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диалог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чрез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диалог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предпоставки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осигурил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прозрачност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включително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броя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гарантирал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третиране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всички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преговорите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25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8.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правилата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инструменти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рамкови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динамични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системи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покупки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електронни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търгове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електронни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каталози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центр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ализирано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Прилага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представлява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настоящото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глава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десета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рамкови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динамични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систем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покупки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електронни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търгове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електронни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каталози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централизирано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възпиращ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ефект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несъответствието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довело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следвало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избран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сериозна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несъответствието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изразява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тогава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процентът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настоящото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настоящото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9.1.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тяхната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тяхната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тяхнат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профила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купувача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профила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купувача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4"/>
                <w:szCs w:val="1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9.2.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тяхната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тяхната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тяхната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разяснени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искане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лицата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изтичане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крайния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9.3.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предоставяне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разяснения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Разясненията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предоставени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ицата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10.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,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дискриминационни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базата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необосновани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местни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стопанските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субекти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възпрепятствани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поради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включват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необосновани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регионални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местни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Например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такива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момента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съществува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притежават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професионална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компетентност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притежават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оборудване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всеки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дадено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относимо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основанията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препратка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придружена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еквивалентно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гарантира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2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4"/>
                <w:szCs w:val="4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4"/>
                <w:szCs w:val="4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4"/>
                <w:szCs w:val="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съществува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горе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хипотези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минимално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допуснати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отговарят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4"/>
                <w:szCs w:val="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11.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,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дискриминационни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смисъла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настоящото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отнася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дискриминационни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местен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признак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Такива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например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минималните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пропорционални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източник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характеризира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продуктите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търг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овска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марка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патент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тип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произход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производство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добавени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думите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еквивалент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изключение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такива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несъществена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част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влиянието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върху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бюджета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формално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действително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влияние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4"/>
                <w:szCs w:val="4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4"/>
                <w:szCs w:val="4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4"/>
                <w:szCs w:val="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дискриминационни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минимално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пуснати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отговарят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4"/>
                <w:szCs w:val="4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4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"/>
                <w:szCs w:val="2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2"/>
                <w:szCs w:val="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2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основанията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довели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ситуация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която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могъл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12.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неточно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прилага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закона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пояснен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пояснение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съдържа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.)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неточно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позволява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изцяло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лицата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13.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Необосновано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подизпълнители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например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налага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върху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подизпълнители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част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например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процент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дял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особена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важност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извършен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самия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съответно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обединението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ІІ</w:t>
            </w:r>
          </w:p>
        </w:tc>
        <w:tc>
          <w:tcPr>
            <w:tcW w:w="106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предложения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14.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променени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отварянето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неправилно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променени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неправилно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хода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отговаря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чиято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трябвало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допусната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разглеждане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предложение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докаже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отстраненият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няма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влияние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92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15.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различни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тяхната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относителна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горните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дискриминация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/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местен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признак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сериозна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11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16.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проследимост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одитна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пътека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изискуемите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прозрачно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2"/>
                <w:szCs w:val="12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72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8"/>
                <w:szCs w:val="1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отказът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много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сериозна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тъй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предоставил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доказателства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8"/>
                <w:szCs w:val="1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17.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хода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включително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избрания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рамките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диалог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както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допуска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добави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разясни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.)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допуснал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хода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изменението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открита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преговарял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довело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сключване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спрямо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областта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концесиите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позволява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минималните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преговорите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вследствие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стига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0"/>
                <w:szCs w:val="10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18.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действия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подготовката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пазарни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консултации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външно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подготовката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действия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връзка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подготовката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44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довело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принципите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недискриминация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третиране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прозрачност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44,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3 - 5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избрания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19.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диалог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състезателен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диалог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20.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необичайно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благоприятни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квал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ифицирани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необичайно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благоприятни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21.</w:t>
            </w:r>
          </w:p>
        </w:tc>
        <w:tc>
          <w:tcPr>
            <w:tcW w:w="3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Конфликт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въздействие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върху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неразкрит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неадекватно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конфликт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смисъла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§ 2,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21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избран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конфликтът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още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подготовка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проекта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подготовката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оказала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влияние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върху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1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22.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лица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предотвратяване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компетентен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орган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група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лица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споразумяват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повишат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понижат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качеството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строителството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предлагани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против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действали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помощ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системата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управление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контрол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2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подали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участвали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лица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сериозно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възпрепятствана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системата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управление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контрол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участвало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против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чрез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съдействие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тях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букви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",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действали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щ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системата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управление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контрол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изпълнител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16"/>
                <w:szCs w:val="1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ІІІ</w:t>
            </w:r>
          </w:p>
        </w:tc>
        <w:tc>
          <w:tcPr>
            <w:tcW w:w="106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left w:w="0" w:type="dxa"/>
              <w:right w:w="2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сключения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1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23.</w:t>
            </w:r>
          </w:p>
        </w:tc>
        <w:tc>
          <w:tcPr>
            <w:tcW w:w="371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включително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обхвата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116,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няма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считат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следователно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праговете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20,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началната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,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промяната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засяга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цялостния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характер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рамковото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споразумение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промяна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естеството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строителството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словията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плащане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материали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промяната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характер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сключения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всеки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ще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счита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116,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новите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работи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такива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произтичащи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измененията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76"/>
        </w:trPr>
        <w:tc>
          <w:tcPr>
            <w:tcW w:w="11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71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</w:p>
        </w:tc>
        <w:tc>
          <w:tcPr>
            <w:tcW w:w="3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всяко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увеличение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извършено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116,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2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sz w:val="8"/>
                <w:szCs w:val="8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чалния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увеличение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</w:t>
            </w:r>
          </w:p>
        </w:tc>
      </w:tr>
    </w:tbl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br/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1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2</w:t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Ново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.)</w:t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tbl>
      <w:tblPr>
        <w:tblW w:w="1156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5"/>
        <w:gridCol w:w="3359"/>
        <w:gridCol w:w="3886"/>
        <w:gridCol w:w="3295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156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ПРОЦЕНТНИ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ФИНАНСОВИ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I</w:t>
            </w:r>
          </w:p>
        </w:tc>
        <w:tc>
          <w:tcPr>
            <w:tcW w:w="10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окументация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чрез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ред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примери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</w:p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%)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Официалния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вестник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" ("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гарантира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предприятие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намиращо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държава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изрази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означава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законодателство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стандарти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стандарти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2.1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тълкувателно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съобщение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Комис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2006/C 179/02.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903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2.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излиза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извън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обхвата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ягва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целия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гарантира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предприятие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намиращо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държава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подходяща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зрази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означава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националното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законодателство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стандарти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;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детайли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стандарти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виж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2.1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тълкувателно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съобщение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Комисията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2006/C 179/02).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189"/>
        </w:trPr>
        <w:tc>
          <w:tcPr>
            <w:tcW w:w="10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3.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кратки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голямо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голямо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30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каквото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друго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съкращаване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процент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счита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характерът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оправдават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4.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/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</w:p>
        </w:tc>
        <w:tc>
          <w:tcPr>
            <w:tcW w:w="3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прекалено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кратък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необосновано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прилагат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всеки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вземат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евентуални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смекчаващи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фактори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сложността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административна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руднения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осигуряването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кратък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атък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60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ормацията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малък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80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5.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публикация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Срокът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получаване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удължен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съгласно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правила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/"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"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подлежи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6.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облекчен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облекчен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предпоставки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7.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областта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отбраната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игурността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областта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отбраната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сигурността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публикува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обстоятелствата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8.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подробно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подробно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9.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Неправомерни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включително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пропорционални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Случаи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възпрепятствани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поради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неправомерни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Нередност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минималните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пропорционални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гарант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например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: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задължение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наличие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стопанска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представителство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притежават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страната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региона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10.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Дискриминационни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технически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спецификации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Поставяне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характеристики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прекалено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специфични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предоставят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достъп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необосновано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конкуренцията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11.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подробно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Описанието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недостатъчно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потенциалните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предмета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сума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подлежи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II</w:t>
            </w:r>
          </w:p>
        </w:tc>
        <w:tc>
          <w:tcPr>
            <w:tcW w:w="10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предложения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12.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допускане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етапа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допускане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ябвало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допуснати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13.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етапа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трябвало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14.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/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относителната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иложени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прилагат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незаконосъобразни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критерии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подбор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Пример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: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подпоказателите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показателите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15.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прозрачност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третиране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оценяването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Одитната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пътека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отнасяща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всяка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неясна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неоправдана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непрозрачна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несъществуваща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протоколът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докладът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съществува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съдържа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всички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16.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оценяването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разрешава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участник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856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17.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рамките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открита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преговаря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време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етапа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оценяване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води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значително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18.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Провеждане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промяна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ръчка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договаряне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предварително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оначално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променени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основание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процедура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 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зависимост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19.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Отстраняване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необичайно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ниска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участниците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кандидатите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необичайно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ниски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отношение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стоките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отхвърли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тези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оферти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изисква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подробна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писмена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обосновка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образу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20.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Конфликт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Установен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компетентен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съдебен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административен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орган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конфликт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бенефициента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възложителя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Раздел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III</w:t>
            </w:r>
          </w:p>
        </w:tc>
        <w:tc>
          <w:tcPr>
            <w:tcW w:w="105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Изпълнение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сключения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21.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ентите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посочени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участие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публичната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покана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информацията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към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степен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гъвкавост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спрямо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зможност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ясен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могат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приети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счита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смисъла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116,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включват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ограничават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единствено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цена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естество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дейностите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период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приключване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плащане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използвани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материали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Необходимо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всеки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конкретен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рави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анализ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плюс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която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резултат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значителното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елементите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22.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обхвата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впоследствие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обемът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му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обхвата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плюс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окончателния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обем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случай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значително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намаляване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обема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23.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обществени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поръчки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нарушение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116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представлява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условия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Ограничена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степен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гъвкавост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спрямо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след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възлагането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ясен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начин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обявлението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такава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възможност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предвидена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документацията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могат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бъдат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приети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Изменението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счита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съществено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смисъла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116,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ЗОП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Основният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разпоредби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последван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писмен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допълнителните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сумата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всички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писмен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устен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вид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неспазване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надвишава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праговете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директивите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намалена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25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0"/>
        </w:trPr>
        <w:tc>
          <w:tcPr>
            <w:tcW w:w="10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9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jc w:val="center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lastRenderedPageBreak/>
              <w:t>24.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9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строителни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работи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услуги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надвишаващи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лимита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определен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съответните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9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Основният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възложен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разпоредбите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приложимите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ормативни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актове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последван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един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допълнителни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надвишаващи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основния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повече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9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 w:line="262" w:lineRule="atLeast"/>
              <w:rPr>
                <w:rFonts w:ascii="Arial" w:eastAsia="Times New Roman" w:hAnsi="Arial" w:cs="Arial"/>
                <w:sz w:val="6"/>
                <w:szCs w:val="6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надвишаваща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стойността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първоначалния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договор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.</w:t>
            </w:r>
          </w:p>
        </w:tc>
      </w:tr>
    </w:tbl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 3</w:t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p w:rsidR="00000000" w:rsidRDefault="00DE45E4">
      <w:pPr>
        <w:ind w:firstLine="850"/>
        <w:jc w:val="both"/>
        <w:rPr>
          <w:rFonts w:eastAsia="Times New Roman"/>
          <w:sz w:val="24"/>
          <w:szCs w:val="24"/>
          <w:highlight w:val="white"/>
          <w:shd w:val="clear" w:color="auto" w:fill="FEFEFE"/>
        </w:rPr>
      </w:pPr>
      <w:r>
        <w:rPr>
          <w:rFonts w:eastAsia="Times New Roman"/>
          <w:sz w:val="24"/>
          <w:szCs w:val="24"/>
          <w:highlight w:val="white"/>
          <w:shd w:val="clear" w:color="auto" w:fill="FEFEFE"/>
        </w:rPr>
        <w:t>(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Изм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67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сила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23.08.2019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предишно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Приложение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№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към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чл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ал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2 -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ДВ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,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бр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. 19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от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 xml:space="preserve"> 2020 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г</w:t>
      </w:r>
      <w:r>
        <w:rPr>
          <w:rFonts w:eastAsia="Times New Roman"/>
          <w:sz w:val="24"/>
          <w:szCs w:val="24"/>
          <w:highlight w:val="white"/>
          <w:shd w:val="clear" w:color="auto" w:fill="FEFEFE"/>
        </w:rPr>
        <w:t>.)</w:t>
      </w:r>
    </w:p>
    <w:p w:rsidR="00000000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68"/>
        <w:gridCol w:w="6612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Нарушение</w:t>
            </w:r>
          </w:p>
        </w:tc>
        <w:tc>
          <w:tcPr>
            <w:tcW w:w="6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Показател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%)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1.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отношение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бенефициента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конфликт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интереси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смисъла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61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Регламент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) 2018/1046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. 57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Регламент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highlight w:val="white"/>
                <w:shd w:val="clear" w:color="auto" w:fill="FEFEFE"/>
              </w:rPr>
              <w:t xml:space="preserve"> 966/2012)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2.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Нарушаване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принципите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. 4,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параграф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8,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. 7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8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Регламент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1303/2013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принципа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пропорционалност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размерът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финансовата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намален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 25, 10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естеството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индивидуалното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системното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нарушение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оправдава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висок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3.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Нарушаване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изискването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дълготрайност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операциите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lastRenderedPageBreak/>
              <w:t>сроковете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. 71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Регламент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1303/2013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lastRenderedPageBreak/>
              <w:t xml:space="preserve">100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пропорционално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периода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който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нарушение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чл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. 71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Регламент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(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ЕС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)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№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1303/2013,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считано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датата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окончателното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плащане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4.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проекта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част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него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налична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одитна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следа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/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аналитично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отчитане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разходите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поддържаната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бенефициента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счетоводна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система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100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случаите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налице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пълна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липса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одитна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следа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принципа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пропорционалност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размерът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финансовата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намален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 2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5, 10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естеството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индивидуалното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системното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нарушение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оправдава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висок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5.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Неизпълнение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мерките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информация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комуникация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задължителни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за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бенефициентите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5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;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съответствие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прин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ципа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пропорционалност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размерът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финансовата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може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да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бъде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намален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2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естеството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тежестта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индивидуалното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или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системното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нарушение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оправдава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определяне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-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висок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6.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Неизпълнение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одобрени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индикатори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,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които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свързани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постигането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целите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програмата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120" w:type="dxa"/>
              <w:bottom w:w="0" w:type="dxa"/>
            </w:tcMar>
            <w:vAlign w:val="center"/>
          </w:tcPr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изпълнението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одобрените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проекта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индикатори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между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90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99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определя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финансова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изпълнението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одобрените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проекта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индикатори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между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80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89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размерът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финансовата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5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изпълнението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одобрените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проекта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индикатори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между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70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79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размерът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финансовата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10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изпълнението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одобрените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проекта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индикатори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между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60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69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размерът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инансовата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15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изпълнението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одобрените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проекта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индикатори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между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50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59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размерът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финансовата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20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изпълнението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одобрените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проекта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индикатори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между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45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49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размерът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фин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ансовата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25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  <w:p w:rsidR="00000000" w:rsidRDefault="00DE45E4">
            <w:pPr>
              <w:spacing w:before="100" w:beforeAutospacing="1" w:after="100" w:afterAutospacing="1"/>
              <w:rPr>
                <w:rFonts w:ascii="Arial" w:eastAsia="Times New Roman" w:hAnsi="Arial" w:cs="Arial"/>
                <w:highlight w:val="white"/>
                <w:shd w:val="clear" w:color="auto" w:fill="FEFEFE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Когато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изпълнението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одобрените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проекта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индикатори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под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45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-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размерът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финансовата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корекция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е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100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на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сто</w:t>
            </w:r>
            <w:r>
              <w:rPr>
                <w:rFonts w:ascii="Arial" w:eastAsia="Times New Roman" w:hAnsi="Arial" w:cs="Arial"/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</w:tr>
    </w:tbl>
    <w:p w:rsidR="00DE45E4" w:rsidRDefault="00DE45E4">
      <w:pPr>
        <w:rPr>
          <w:rFonts w:eastAsia="Times New Roman"/>
          <w:sz w:val="24"/>
          <w:szCs w:val="24"/>
          <w:highlight w:val="white"/>
          <w:shd w:val="clear" w:color="auto" w:fill="FEFEFE"/>
        </w:rPr>
      </w:pPr>
    </w:p>
    <w:sectPr w:rsidR="00DE45E4">
      <w:pgSz w:w="12240" w:h="15840"/>
      <w:pgMar w:top="1080" w:right="1080" w:bottom="1080" w:left="108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endnotePr>
    <w:pos w:val="sectEnd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9A3"/>
    <w:rsid w:val="001069A3"/>
    <w:rsid w:val="00D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DCA56F5-216A-40A0-94BB-B1089C89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-lex.europa.eu/homepag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7434</Words>
  <Characters>42376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PETYA EMILIYANOVA NIKOLOVA</dc:creator>
  <cp:keywords/>
  <dc:description/>
  <cp:lastModifiedBy>PETYA EMILIYANOVA NIKOLOVA</cp:lastModifiedBy>
  <cp:revision>2</cp:revision>
  <dcterms:created xsi:type="dcterms:W3CDTF">2020-03-06T13:53:00Z</dcterms:created>
  <dcterms:modified xsi:type="dcterms:W3CDTF">2020-03-06T13:53:00Z</dcterms:modified>
</cp:coreProperties>
</file>